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Lakehead NDP</w:t>
      </w:r>
      <w:proofErr w:type="spellEnd"/>
      <w:r>
        <w:rPr>
          <w:b/>
          <w:sz w:val="28"/>
        </w:rPr>
        <w:t xml:space="preserve"> (“</w:t>
      </w:r>
      <w:proofErr w:type="spellStart"/>
      <w:r>
        <w:rPr>
          <w:b/>
          <w:sz w:val="28"/>
        </w:rPr>
        <w:t>LNDP</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Lakehead NDP</w:t>
      </w:r>
      <w:proofErr w:type="spellEnd"/>
      <w:r>
        <w:t xml:space="preserve"> (hereinafter “Club” or “</w:t>
      </w:r>
      <w:proofErr w:type="spellStart"/>
      <w:r>
        <w:t>LNDP</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To encourage youth to get involved in politics and local events</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 xml:space="preserve">The date, time, and location of the Annual General Meeting shall be set by the </w:t>
      </w:r>
      <w:r>
        <w:t>President</w:t>
      </w:r>
      <w:r>
        <w:t xml:space="preserve">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 xml:space="preserve">The Annual General Meeting shall be chaired by the </w:t>
      </w:r>
      <w:r>
        <w:t>President</w:t>
      </w:r>
      <w:r>
        <w: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3.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