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Lakehead Italian Cultural Association</w:t>
      </w:r>
      <w:proofErr w:type="spellEnd"/>
      <w:r>
        <w:rPr>
          <w:b/>
          <w:sz w:val="28"/>
        </w:rPr>
        <w:t xml:space="preserve"> (“</w:t>
      </w:r>
      <w:proofErr w:type="spellStart"/>
      <w:r>
        <w:rPr>
          <w:b/>
          <w:sz w:val="28"/>
        </w:rPr>
        <w:t>ITAL</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Lakehead Italian Cultural Association</w:t>
      </w:r>
      <w:proofErr w:type="spellEnd"/>
      <w:r>
        <w:t xml:space="preserve"> (hereinafter “Club” or “</w:t>
      </w:r>
      <w:proofErr w:type="spellStart"/>
      <w:r>
        <w:t>ITAL</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Our clubs purpose is to provide Lakehead students with a welcoming environment to learn and explore Italian culture.</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Vice President</w:t>
      </w:r>
      <w:r>
        <w:t xml:space="preserve">.  </w:t>
      </w:r>
      <w:r>
        <w:t>The Vice President is the Officer in charge of the Club's finances, and in that capacity, along with the President, is allowed to deposit and withdraw funds from the Club's accounts.  The Vice President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