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Rowing Club</w:t>
      </w:r>
      <w:proofErr w:type="spellEnd"/>
      <w:r>
        <w:rPr>
          <w:b/>
          <w:sz w:val="28"/>
        </w:rPr>
        <w:t xml:space="preserve"> (“</w:t>
      </w:r>
      <w:proofErr w:type="spellStart"/>
      <w:r>
        <w:rPr>
          <w:b/>
          <w:sz w:val="28"/>
        </w:rPr>
        <w:t>LRC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Rowing Club</w:t>
      </w:r>
      <w:proofErr w:type="spellEnd"/>
      <w:r>
        <w:t xml:space="preserve"> (hereinafter “Club” or “</w:t>
      </w:r>
      <w:proofErr w:type="spellStart"/>
      <w:r>
        <w:t>LRC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To both introduce new athletes to rowing as well as to train athletes to compete for Lakehead University at provincial and international competitions/regattas. The club will run in cooperation with the Thunder Bay Rowing Club to provide equipment and coaching staff.</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 xml:space="preserve">3. Treasurer. </w:t>
      </w:r>
      <w:r>
        <w:br/>
      </w:r>
      <w:r>
        <w:br/>
      </w:r>
      <w:r>
        <w:t>4. Risk Management Officer. The Risk Management officer is responsible for all risk-related practices within their Club. This includes ensuring all Rowan’s Law requirements are enforced, and all participants receive concussion education materials. Additionally, the Risk Management Officer is required to ensure that the Athletic Emergency Action Plans are completed for all athletics-based events which include practices and participation in leagues/tournaments.</w:t>
      </w:r>
      <w:r>
        <w:br/>
      </w:r>
      <w:r>
        <w:br/>
      </w:r>
      <w:r>
        <w:t>5. All Club Officers must be currently registered students at Lakehead University.</w:t>
      </w:r>
      <w:r>
        <w:br/>
      </w:r>
      <w:r>
        <w:br/>
      </w:r>
      <w:r>
        <w:t>6.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